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马坝编程课联合开班合作</w:t>
      </w:r>
    </w:p>
    <w:p>
      <w:pPr>
        <w:spacing w:after="160"/>
      </w:pPr>
      <w:r>
        <w:rPr>
          <w:color w:val="65717A"/>
          <w:sz w:val="21"/>
        </w:rPr>
        <w:t>彭老师  |  面向本地教育机构</w:t>
      </w:r>
    </w:p>
    <w:p>
      <w:r>
        <w:rPr>
          <w:b/>
        </w:rPr>
        <w:t>您提供生源与场地，我负责课程与教学。</w:t>
      </w:r>
    </w:p>
    <w:p>
      <w:r>
        <w:t>可按约定分成，也可按课时合作。先体验、再开班，根据家长需求和课堂效果扩大合作。</w:t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263999" cy="939600"/>
            <wp:docPr id="1" name="Picture 1" descr="图形化项目屏幕、代码窗口与机器人三个课程方向的示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urse-illustra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93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可开设课程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68"/>
        <w:gridCol w:w="7597"/>
      </w:tblGrid>
      <w:tr>
        <w:trPr>
          <w:tblHeader/>
          <w:cantSplit/>
        </w:trPr>
        <w:tc>
          <w:tcPr>
            <w:tcW w:type="dxa" w:w="226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b/>
                <w:sz w:val="21"/>
              </w:rPr>
              <w:t>课程方向</w:t>
            </w:r>
          </w:p>
        </w:tc>
        <w:tc>
          <w:tcPr>
            <w:tcW w:type="dxa" w:w="7597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b/>
                <w:sz w:val="21"/>
              </w:rPr>
              <w:t>内容与成果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1"/>
              </w:rPr>
              <w:t>Scratch 图形化</w:t>
            </w:r>
          </w:p>
        </w:tc>
        <w:tc>
          <w:tcPr>
            <w:tcW w:type="dxa" w:w="7597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1"/>
              </w:rPr>
              <w:t>面向小学零基础，学习循环、判断与变量，完成互动故事和小游戏。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1"/>
              </w:rPr>
              <w:t>Python 与 C/C++</w:t>
            </w:r>
          </w:p>
        </w:tc>
        <w:tc>
          <w:tcPr>
            <w:tcW w:type="dxa" w:w="7597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1"/>
              </w:rPr>
              <w:t>基础语法、程序练习与小项目，按学生基础安排进阶及考级辅导。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1"/>
              </w:rPr>
              <w:t>机器人项目</w:t>
            </w:r>
          </w:p>
        </w:tc>
        <w:tc>
          <w:tcPr>
            <w:tcW w:type="dxa" w:w="7597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1"/>
              </w:rPr>
              <w:t>搭建、传感器与程序控制，通过任务挑战练习；按现有器材选课。</w:t>
            </w:r>
          </w:p>
        </w:tc>
      </w:tr>
    </w:tbl>
    <w:p>
      <w:pPr>
        <w:pStyle w:val="Heading1"/>
      </w:pPr>
      <w:r>
        <w:t>教学优势与已有成果</w:t>
      </w:r>
    </w:p>
    <w:p>
      <w:r>
        <w:rPr>
          <w:b/>
        </w:rPr>
        <w:t xml:space="preserve">独立备课  </w:t>
      </w:r>
      <w:r>
        <w:t>提供课件、教案、练习与测评，也可按机构已有教材接班。</w:t>
      </w:r>
    </w:p>
    <w:p>
      <w:r>
        <w:rPr>
          <w:b/>
        </w:rPr>
        <w:t xml:space="preserve">学生动手  </w:t>
      </w:r>
      <w:r>
        <w:t>分层安排项目与任务，以作品和独立练习检查理解。</w:t>
      </w:r>
    </w:p>
    <w:p>
      <w:r>
        <w:rPr>
          <w:b/>
        </w:rPr>
        <w:t xml:space="preserve">清楚反馈  </w:t>
      </w:r>
      <w:r>
        <w:t>课后说明所学内容、完成情况和困难，便于家长沟通。</w:t>
      </w:r>
    </w:p>
    <w:p>
      <w:pPr>
        <w:spacing w:after="60"/>
      </w:pPr>
      <w:r>
        <w:t>可展示学员图形化编程一级、机器人一级与二级、C语言一级等考试证书与课堂记录，并介绍相应授课经历。</w:t>
      </w:r>
    </w:p>
    <w:p>
      <w:pPr>
        <w:pStyle w:val="Heading1"/>
      </w:pPr>
      <w:r>
        <w:t>合作分工与收益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b/>
                <w:sz w:val="21"/>
              </w:rPr>
              <w:t>机构负责</w:t>
            </w:r>
          </w:p>
        </w:tc>
        <w:tc>
          <w:tcPr>
            <w:tcW w:type="dxa" w:w="49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b/>
                <w:sz w:val="21"/>
              </w:rPr>
              <w:t>我负责</w:t>
            </w:r>
          </w:p>
        </w:tc>
      </w:tr>
      <w:tr>
        <w:trPr>
          <w:cantSplit/>
        </w:trPr>
        <w:tc>
          <w:tcPr>
            <w:tcW w:type="dxa" w:w="49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1"/>
              </w:rPr>
              <w:t>家长邀约、招生报名、场地及日常服务</w:t>
            </w:r>
          </w:p>
        </w:tc>
        <w:tc>
          <w:tcPr>
            <w:tcW w:type="dxa" w:w="49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1"/>
              </w:rPr>
              <w:t>课程方案、备课授课、练习测评与教学反馈</w:t>
            </w:r>
          </w:p>
        </w:tc>
      </w:tr>
    </w:tbl>
    <w:p>
      <w:pPr>
        <w:spacing w:before="100"/>
      </w:pPr>
      <w:r>
        <w:t>按双方投入协商分成，或按课时付费；提前明确设备与材料成本、分成基数、退款处理和结算周期。</w:t>
      </w:r>
    </w:p>
    <w:p>
      <w:pPr>
        <w:pStyle w:val="Heading1"/>
      </w:pPr>
      <w:r>
        <w:t>先试开一个班</w:t>
      </w:r>
    </w:p>
    <w:p>
      <w:r>
        <w:t>确认学生与设备 → 体验课 → 短周期小班 → 复盘扩班。建议从 Scratch 入门开始。</w:t>
      </w:r>
    </w:p>
    <w:p>
      <w:pPr>
        <w:spacing w:before="120" w:after="0"/>
      </w:pPr>
      <w:r>
        <w:drawing>
          <wp:inline xmlns:a="http://schemas.openxmlformats.org/drawingml/2006/main" xmlns:pic="http://schemas.openxmlformats.org/drawingml/2006/picture">
            <wp:extent cx="6263999" cy="800400"/>
            <wp:docPr id="2" name="Picture 2" descr="二维码指向彭老师现有课程与学员成果页面 https://teacher-7a6.pages.dev/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act-q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80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sz w:val="21"/>
        </w:rPr>
        <w:t>电话：________________    微信：________________</w:t>
      </w:r>
    </w:p>
    <w:sectPr w:rsidR="00FC693F" w:rsidRPr="0006063C" w:rsidSect="00034616">
      <w:pgSz w:w="11906" w:h="16838"/>
      <w:pgMar w:top="709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60"/>
    </w:pPr>
    <w:rPr>
      <w:rFonts w:ascii="Hiragino Sans GB" w:hAnsi="Hiragino Sans GB" w:eastAsia="Hiragino Sans GB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Hiragino Sans GB" w:hAnsi="Hiragino Sans GB" w:eastAsia="Hiragino Sans GB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马坝编程课联合开班合作</dc:title>
  <dc:subject>本地教育机构编程课程合作简介</dc:subject>
  <dc:creator>彭老师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